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宋体" w:hAnsi="宋体" w:eastAsia="黑体" w:cs="宋体"/>
          <w:i w:val="0"/>
          <w:iCs w:val="0"/>
          <w:caps w:val="0"/>
          <w:color w:val="4C4C4C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大学生职业规划大赛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决赛评分标准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成长赛道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uto"/>
        <w:ind w:left="0" w:firstLine="480"/>
        <w:jc w:val="both"/>
      </w:pPr>
      <w:r>
        <w:rPr>
          <w:rFonts w:ascii="undefined" w:hAnsi="undefined" w:eastAsia="undefined" w:cs="undefined"/>
          <w:color w:val="000000"/>
        </w:rPr>
        <w:t>一、比赛内容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uto"/>
        <w:ind w:left="0" w:firstLine="480"/>
        <w:jc w:val="both"/>
      </w:pPr>
      <w:r>
        <w:rPr>
          <w:rFonts w:hint="default" w:ascii="undefined" w:hAnsi="undefined" w:eastAsia="undefined" w:cs="undefined"/>
          <w:color w:val="000000"/>
        </w:rPr>
        <w:t>考察学生职业发展规划的科学性和围绕实现职业目标的成长过程，通过学习实践持续提升职业目标的达成度，增强综合素质和能力。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uto"/>
        <w:ind w:left="0" w:firstLine="480"/>
        <w:jc w:val="both"/>
      </w:pPr>
      <w:r>
        <w:rPr>
          <w:rFonts w:hint="default" w:ascii="undefined" w:hAnsi="undefined" w:eastAsia="undefined" w:cs="undefined"/>
          <w:color w:val="000000"/>
        </w:rPr>
        <w:t>二、参赛组别和对象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80" w:lineRule="auto"/>
        <w:ind w:left="0" w:firstLine="480"/>
        <w:jc w:val="both"/>
      </w:pPr>
      <w:r>
        <w:rPr>
          <w:rFonts w:hint="default" w:ascii="undefined" w:hAnsi="undefined" w:eastAsia="undefined" w:cs="undefined"/>
          <w:color w:val="000000"/>
        </w:rPr>
        <w:t>成长赛道参赛对象为普通本科一、二、三年级学生。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drawing>
          <wp:inline distT="0" distB="0" distL="114300" distR="114300">
            <wp:extent cx="4222750" cy="2955925"/>
            <wp:effectExtent l="0" t="0" r="6350" b="15875"/>
            <wp:docPr id="3" name="图片 1" descr="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就业赛道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一、比赛内容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考察学生的求职实战能力，个人发展路径与经济社会发展需要的适应度，就业能力与职业目标和岗位要求的契合度。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二、参赛组别和对象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（一）就业赛道设5个分赛道。其中，针对企业职能岗位，设产品研发、生产服务、市场营销、通用职能分赛道（按相近行业分小组）;针对公共服务岗位，设公共服务分赛道。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（二）就业赛道参赛对象为普通本科三、四年级（部分专业五年级）学生和全体研究生。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三、评审标准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drawing>
          <wp:inline distT="0" distB="0" distL="114300" distR="114300">
            <wp:extent cx="4762500" cy="2543175"/>
            <wp:effectExtent l="0" t="0" r="0" b="9525"/>
            <wp:docPr id="1" name="图片 2" descr="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drawing>
          <wp:inline distT="0" distB="0" distL="114300" distR="114300">
            <wp:extent cx="4762500" cy="2886075"/>
            <wp:effectExtent l="0" t="0" r="0" b="9525"/>
            <wp:docPr id="2" name="图片 3" descr="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1AF33A3E"/>
    <w:rsid w:val="1A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jyxy.hznu.edu.cn/upload/resources/image/2023/10/19/7795881.png" TargetMode="External"/><Relationship Id="rId7" Type="http://schemas.openxmlformats.org/officeDocument/2006/relationships/image" Target="media/image2.png"/><Relationship Id="rId6" Type="http://schemas.openxmlformats.org/officeDocument/2006/relationships/hyperlink" Target="https://jyxy.hznu.edu.cn/upload/resources/image/2023/10/19/7795880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jyxy.hznu.edu.cn/upload/resources/image/2023/10/19/7795879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2024-04-07T01:04:00Z</dcterms:created>
  <dc:creator>汪凯达</dc:creator>
  <cp:lastModifiedBy>汪凯达</cp:lastModifiedBy>
  <dcterms:modified xsi:type="dcterms:W3CDTF">2024-04-07T01:04:28Z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9B8FE52B249A427983155C3D4990490F</vt:lpwstr>
  </property>
</Properties>
</file>